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附件3：</w:t>
      </w:r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统计员信息表</w:t>
      </w:r>
      <w:bookmarkEnd w:id="0"/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注：为科研统计工作的顺利开展，请将部门负责科研统计的人员信息填写下表，最迟于</w:t>
      </w:r>
      <w:r>
        <w:rPr>
          <w:rFonts w:hint="eastAsia"/>
          <w:sz w:val="32"/>
          <w:szCs w:val="32"/>
          <w:highlight w:val="yellow"/>
        </w:rPr>
        <w:t>9月4日前</w:t>
      </w:r>
      <w:r>
        <w:rPr>
          <w:rFonts w:hint="eastAsia"/>
          <w:sz w:val="32"/>
          <w:szCs w:val="32"/>
        </w:rPr>
        <w:t>将盖公章纸质版统计表提交到2-212处。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8" w:hRule="atLeast"/>
        </w:trPr>
        <w:tc>
          <w:tcPr>
            <w:tcW w:w="8520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部门（盖章）：</w:t>
            </w: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科研系统管理员姓名：</w:t>
            </w: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部门盖章：</w:t>
            </w: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备注：1.各部门有新进人员由系部科研系统管理员统一录入。</w:t>
            </w:r>
          </w:p>
          <w:p>
            <w:pPr>
              <w:widowControl w:val="0"/>
              <w:jc w:val="both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color w:val="C00000"/>
                <w:sz w:val="28"/>
                <w:szCs w:val="28"/>
                <w:highlight w:val="yellow"/>
              </w:rPr>
              <w:t>非教学部门</w:t>
            </w:r>
            <w:r>
              <w:rPr>
                <w:rFonts w:hint="eastAsia"/>
                <w:sz w:val="28"/>
                <w:szCs w:val="28"/>
              </w:rPr>
              <w:t>科研系统管理员确认后由科发处调整下发系统管理权限</w:t>
            </w:r>
          </w:p>
        </w:tc>
      </w:tr>
    </w:tbl>
    <w:p/>
    <w:sectPr>
      <w:pgSz w:w="11906" w:h="16838"/>
      <w:pgMar w:top="1440" w:right="1800" w:bottom="1440" w:left="18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A67BC"/>
    <w:rsid w:val="4F1A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